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FFD3E" w14:textId="77777777" w:rsidR="00391491" w:rsidRPr="00AC0D15" w:rsidRDefault="00391491" w:rsidP="005C760C">
      <w:pPr>
        <w:pStyle w:val="Heading1"/>
        <w:spacing w:before="480" w:after="0" w:line="360" w:lineRule="auto"/>
        <w:jc w:val="both"/>
        <w:rPr>
          <w:rFonts w:ascii="Times New Roman" w:hAnsi="Times New Roman" w:cs="Times New Roman"/>
          <w:b/>
          <w:bCs/>
          <w:kern w:val="0"/>
          <w:sz w:val="28"/>
          <w:szCs w:val="28"/>
          <w:lang w:eastAsia="en-US"/>
          <w14:ligatures w14:val="none"/>
        </w:rPr>
      </w:pPr>
      <w:bookmarkStart w:id="0" w:name="OLE_LINK5"/>
      <w:r w:rsidRPr="00AC0D15">
        <w:rPr>
          <w:rFonts w:ascii="Times New Roman" w:hAnsi="Times New Roman" w:cs="Times New Roman"/>
          <w:b/>
          <w:bCs/>
          <w:kern w:val="0"/>
          <w:sz w:val="28"/>
          <w:szCs w:val="28"/>
          <w:lang w:eastAsia="en-US"/>
          <w14:ligatures w14:val="none"/>
        </w:rPr>
        <w:t>Appendix A. Automated Spatial Sampling Workflow</w:t>
      </w:r>
    </w:p>
    <w:bookmarkEnd w:id="0"/>
    <w:p w14:paraId="0AD30832" w14:textId="6F6B41DC" w:rsidR="00391491" w:rsidRPr="00391491" w:rsidRDefault="00391491" w:rsidP="005C760C">
      <w:pPr>
        <w:shd w:val="clear" w:color="auto" w:fill="FFFFFF"/>
        <w:spacing w:before="192" w:after="192"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color w:val="333333"/>
          <w:kern w:val="0"/>
          <w14:ligatures w14:val="none"/>
        </w:rPr>
        <w:t xml:space="preserve">This appendix describes the </w:t>
      </w:r>
      <w:r>
        <w:rPr>
          <w:rFonts w:ascii="Times New Roman" w:eastAsia="Times New Roman" w:hAnsi="Times New Roman" w:cs="Times New Roman"/>
          <w:color w:val="333333"/>
          <w:kern w:val="0"/>
          <w14:ligatures w14:val="none"/>
        </w:rPr>
        <w:t xml:space="preserve">Bash and Python </w:t>
      </w:r>
      <w:r w:rsidRPr="00391491">
        <w:rPr>
          <w:rFonts w:ascii="Times New Roman" w:eastAsia="Times New Roman" w:hAnsi="Times New Roman" w:cs="Times New Roman"/>
          <w:color w:val="333333"/>
          <w:kern w:val="0"/>
          <w14:ligatures w14:val="none"/>
        </w:rPr>
        <w:t>program</w:t>
      </w:r>
      <w:r>
        <w:rPr>
          <w:rFonts w:ascii="Times New Roman" w:eastAsia="Times New Roman" w:hAnsi="Times New Roman" w:cs="Times New Roman"/>
          <w:color w:val="333333"/>
          <w:kern w:val="0"/>
          <w14:ligatures w14:val="none"/>
        </w:rPr>
        <w:t>s we</w:t>
      </w:r>
      <w:r w:rsidRPr="00391491">
        <w:rPr>
          <w:rFonts w:ascii="Times New Roman" w:eastAsia="Times New Roman" w:hAnsi="Times New Roman" w:cs="Times New Roman"/>
          <w:color w:val="333333"/>
          <w:kern w:val="0"/>
          <w14:ligatures w14:val="none"/>
        </w:rPr>
        <w:t xml:space="preserve"> used to turn a sampled ward, village tract, or neighbourhood into field-ready GIS materials. In practical terms, the system combined bash wrappers, Python scripts, GDAL, QGIS processing tools, </w:t>
      </w:r>
      <w:proofErr w:type="spellStart"/>
      <w:r w:rsidRPr="00391491">
        <w:rPr>
          <w:rFonts w:ascii="Times New Roman" w:eastAsia="Times New Roman" w:hAnsi="Times New Roman" w:cs="Times New Roman"/>
          <w:color w:val="333333"/>
          <w:kern w:val="0"/>
          <w14:ligatures w14:val="none"/>
        </w:rPr>
        <w:t>GeoPandas</w:t>
      </w:r>
      <w:proofErr w:type="spellEnd"/>
      <w:r w:rsidRPr="00391491">
        <w:rPr>
          <w:rFonts w:ascii="Times New Roman" w:eastAsia="Times New Roman" w:hAnsi="Times New Roman" w:cs="Times New Roman"/>
          <w:color w:val="333333"/>
          <w:kern w:val="0"/>
          <w14:ligatures w14:val="none"/>
        </w:rPr>
        <w:t xml:space="preserve">, and Google Earth outputs. Its main inputs were modest: a control spreadsheet or CSV listing the sampled administrative units, a </w:t>
      </w:r>
      <w:proofErr w:type="spellStart"/>
      <w:r w:rsidRPr="00391491">
        <w:rPr>
          <w:rFonts w:ascii="Times New Roman" w:eastAsia="Times New Roman" w:hAnsi="Times New Roman" w:cs="Times New Roman"/>
          <w:color w:val="333333"/>
          <w:kern w:val="0"/>
          <w14:ligatures w14:val="none"/>
        </w:rPr>
        <w:t>WorldPop</w:t>
      </w:r>
      <w:proofErr w:type="spellEnd"/>
      <w:r w:rsidRPr="00391491">
        <w:rPr>
          <w:rFonts w:ascii="Times New Roman" w:eastAsia="Times New Roman" w:hAnsi="Times New Roman" w:cs="Times New Roman"/>
          <w:color w:val="333333"/>
          <w:kern w:val="0"/>
          <w14:ligatures w14:val="none"/>
        </w:rPr>
        <w:t xml:space="preserve"> raster or stable download link, and a digital boundary source, either a master shapefile or an OpenStreetMap boundary download link. Once those inputs were available, the program could process each sampled local unit in batch form and produce sampling logs, </w:t>
      </w:r>
      <w:hyperlink r:id="rId8" w:history="1">
        <w:r w:rsidRPr="0058168D">
          <w:rPr>
            <w:rStyle w:val="Hyperlink"/>
            <w:rFonts w:ascii="Times New Roman" w:eastAsia="Times New Roman" w:hAnsi="Times New Roman" w:cs="Times New Roman"/>
            <w:kern w:val="0"/>
            <w14:ligatures w14:val="none"/>
          </w:rPr>
          <w:t>KML</w:t>
        </w:r>
      </w:hyperlink>
      <w:r w:rsidRPr="00391491">
        <w:rPr>
          <w:rFonts w:ascii="Times New Roman" w:eastAsia="Times New Roman" w:hAnsi="Times New Roman" w:cs="Times New Roman"/>
          <w:color w:val="333333"/>
          <w:kern w:val="0"/>
          <w14:ligatures w14:val="none"/>
        </w:rPr>
        <w:t xml:space="preserve"> </w:t>
      </w:r>
      <w:r w:rsidR="0058168D">
        <w:rPr>
          <w:rFonts w:ascii="Times New Roman" w:eastAsia="Times New Roman" w:hAnsi="Times New Roman" w:cs="Times New Roman"/>
          <w:color w:val="333333"/>
          <w:kern w:val="0"/>
          <w14:ligatures w14:val="none"/>
        </w:rPr>
        <w:t>(</w:t>
      </w:r>
      <w:r w:rsidR="0058168D" w:rsidRPr="0058168D">
        <w:rPr>
          <w:rFonts w:ascii="Times New Roman" w:eastAsia="Times New Roman" w:hAnsi="Times New Roman" w:cs="Times New Roman"/>
          <w:color w:val="333333"/>
          <w:kern w:val="0"/>
          <w14:ligatures w14:val="none"/>
        </w:rPr>
        <w:t>Keyhole Markup Language</w:t>
      </w:r>
      <w:r w:rsidR="0058168D">
        <w:rPr>
          <w:rFonts w:ascii="Times New Roman" w:eastAsia="Times New Roman" w:hAnsi="Times New Roman" w:cs="Times New Roman"/>
          <w:color w:val="333333"/>
          <w:kern w:val="0"/>
          <w14:ligatures w14:val="none"/>
        </w:rPr>
        <w:t xml:space="preserve">) </w:t>
      </w:r>
      <w:r w:rsidRPr="00391491">
        <w:rPr>
          <w:rFonts w:ascii="Times New Roman" w:eastAsia="Times New Roman" w:hAnsi="Times New Roman" w:cs="Times New Roman"/>
          <w:color w:val="333333"/>
          <w:kern w:val="0"/>
          <w14:ligatures w14:val="none"/>
        </w:rPr>
        <w:t xml:space="preserve">overlays, centroid coordinates, and zipped field bundles. The one stage that still required a quick review was the release decision on the candidate half-minute </w:t>
      </w:r>
      <w:proofErr w:type="gramStart"/>
      <w:r w:rsidRPr="00391491">
        <w:rPr>
          <w:rFonts w:ascii="Times New Roman" w:eastAsia="Times New Roman" w:hAnsi="Times New Roman" w:cs="Times New Roman"/>
          <w:color w:val="333333"/>
          <w:kern w:val="0"/>
          <w14:ligatures w14:val="none"/>
        </w:rPr>
        <w:t>grids, since</w:t>
      </w:r>
      <w:proofErr w:type="gramEnd"/>
      <w:r w:rsidRPr="00391491">
        <w:rPr>
          <w:rFonts w:ascii="Times New Roman" w:eastAsia="Times New Roman" w:hAnsi="Times New Roman" w:cs="Times New Roman"/>
          <w:color w:val="333333"/>
          <w:kern w:val="0"/>
          <w14:ligatures w14:val="none"/>
        </w:rPr>
        <w:t xml:space="preserve"> the team sometimes needed to confirm habitation or access before final issue.</w:t>
      </w:r>
    </w:p>
    <w:p w14:paraId="5CEE2361" w14:textId="77777777" w:rsidR="00391491" w:rsidRPr="00391491" w:rsidRDefault="00391491" w:rsidP="005C760C">
      <w:pPr>
        <w:shd w:val="clear" w:color="auto" w:fill="FFFFFF"/>
        <w:spacing w:before="192" w:after="192"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color w:val="333333"/>
          <w:kern w:val="0"/>
          <w14:ligatures w14:val="none"/>
        </w:rPr>
        <w:t>The workflow was designed to replace the weakest stage of the survey frame, not the whole design. Upper-stage sampling remained fixed outside the GIS system. The program began only after the target township and lower-level administrative unit had already been selected. From that point onward, the remaining steps were largely automated.</w:t>
      </w:r>
    </w:p>
    <w:p w14:paraId="36D02970" w14:textId="77777777" w:rsidR="00391491" w:rsidRPr="00AC0D15" w:rsidRDefault="00391491" w:rsidP="005C760C">
      <w:pPr>
        <w:pStyle w:val="Heading1"/>
        <w:spacing w:before="480" w:after="0" w:line="360" w:lineRule="auto"/>
        <w:jc w:val="both"/>
        <w:rPr>
          <w:rFonts w:ascii="Times New Roman" w:hAnsi="Times New Roman" w:cs="Times New Roman"/>
          <w:b/>
          <w:bCs/>
          <w:kern w:val="0"/>
          <w:sz w:val="28"/>
          <w:szCs w:val="28"/>
          <w:lang w:eastAsia="en-US"/>
          <w14:ligatures w14:val="none"/>
        </w:rPr>
      </w:pPr>
      <w:r w:rsidRPr="00AC0D15">
        <w:rPr>
          <w:rFonts w:ascii="Times New Roman" w:hAnsi="Times New Roman" w:cs="Times New Roman"/>
          <w:b/>
          <w:bCs/>
          <w:kern w:val="0"/>
          <w:sz w:val="28"/>
          <w:szCs w:val="28"/>
          <w:lang w:eastAsia="en-US"/>
          <w14:ligatures w14:val="none"/>
        </w:rPr>
        <w:t>Step-by-step procedure</w:t>
      </w:r>
    </w:p>
    <w:p w14:paraId="6AD2886C"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Prepare the control file.</w:t>
      </w:r>
      <w:r w:rsidRPr="00391491">
        <w:rPr>
          <w:rFonts w:ascii="Times New Roman" w:eastAsia="Times New Roman" w:hAnsi="Times New Roman" w:cs="Times New Roman"/>
          <w:color w:val="333333"/>
          <w:kern w:val="0"/>
          <w14:ligatures w14:val="none"/>
        </w:rPr>
        <w:t xml:space="preserve"> The program began from an Excel or CSV file listing the sampled state or region, township, lower-level unit, and the number of required draws. In the Myanmar workflow, these files also recorded which half-minute grid was eventually released to the field, which made replacements traceable.</w:t>
      </w:r>
    </w:p>
    <w:p w14:paraId="29C8962A"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Create the batch structure.</w:t>
      </w:r>
      <w:r w:rsidRPr="00391491">
        <w:rPr>
          <w:rFonts w:ascii="Times New Roman" w:eastAsia="Times New Roman" w:hAnsi="Times New Roman" w:cs="Times New Roman"/>
          <w:color w:val="333333"/>
          <w:kern w:val="0"/>
          <w14:ligatures w14:val="none"/>
        </w:rPr>
        <w:t xml:space="preserve"> The shell and Python wrappers generated a separate job and folder structure for each sampled local unit. This made it possible to rerun one unit without disturbing the rest of the sample and kept the outputs organised by state, township, and village tract or ward.</w:t>
      </w:r>
    </w:p>
    <w:p w14:paraId="0F359790"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Obtain the local boundary.</w:t>
      </w:r>
      <w:r w:rsidRPr="00391491">
        <w:rPr>
          <w:rFonts w:ascii="Times New Roman" w:eastAsia="Times New Roman" w:hAnsi="Times New Roman" w:cs="Times New Roman"/>
          <w:color w:val="333333"/>
          <w:kern w:val="0"/>
          <w14:ligatures w14:val="none"/>
        </w:rPr>
        <w:t xml:space="preserve"> The program then acquired the boundary for the sampled unit. In Myanmar, the boundary was usually extracted from a larger state-level shapefile by matching township and village-tract names. In the China-side workflow, boundary </w:t>
      </w:r>
      <w:r w:rsidRPr="00391491">
        <w:rPr>
          <w:rFonts w:ascii="Times New Roman" w:eastAsia="Times New Roman" w:hAnsi="Times New Roman" w:cs="Times New Roman"/>
          <w:color w:val="333333"/>
          <w:kern w:val="0"/>
          <w14:ligatures w14:val="none"/>
        </w:rPr>
        <w:lastRenderedPageBreak/>
        <w:t xml:space="preserve">files could be downloaded directly from an OpenStreetMap boundary service with </w:t>
      </w:r>
      <w:r w:rsidRPr="00391491">
        <w:rPr>
          <w:rFonts w:ascii="Times New Roman" w:eastAsia="Times New Roman" w:hAnsi="Times New Roman" w:cs="Times New Roman"/>
          <w:color w:val="333333"/>
          <w:kern w:val="0"/>
          <w:sz w:val="22"/>
          <w:szCs w:val="22"/>
          <w:bdr w:val="single" w:sz="6" w:space="0" w:color="E7EAED" w:frame="1"/>
          <w:shd w:val="clear" w:color="auto" w:fill="F3F4F4"/>
          <w14:ligatures w14:val="none"/>
        </w:rPr>
        <w:t>curl</w:t>
      </w:r>
      <w:r w:rsidRPr="00391491">
        <w:rPr>
          <w:rFonts w:ascii="Times New Roman" w:eastAsia="Times New Roman" w:hAnsi="Times New Roman" w:cs="Times New Roman"/>
          <w:color w:val="333333"/>
          <w:kern w:val="0"/>
          <w14:ligatures w14:val="none"/>
        </w:rPr>
        <w:t>. Either route produced a dedicated polygon file for the sampled local unit.</w:t>
      </w:r>
    </w:p>
    <w:p w14:paraId="16041BAC"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Load the gridded population raster.</w:t>
      </w:r>
      <w:r w:rsidRPr="00391491">
        <w:rPr>
          <w:rFonts w:ascii="Times New Roman" w:eastAsia="Times New Roman" w:hAnsi="Times New Roman" w:cs="Times New Roman"/>
          <w:color w:val="333333"/>
          <w:kern w:val="0"/>
          <w14:ligatures w14:val="none"/>
        </w:rPr>
        <w:t xml:space="preserve"> The workflow used </w:t>
      </w:r>
      <w:proofErr w:type="spellStart"/>
      <w:r w:rsidRPr="00391491">
        <w:rPr>
          <w:rFonts w:ascii="Times New Roman" w:eastAsia="Times New Roman" w:hAnsi="Times New Roman" w:cs="Times New Roman"/>
          <w:color w:val="333333"/>
          <w:kern w:val="0"/>
          <w14:ligatures w14:val="none"/>
        </w:rPr>
        <w:t>WorldPop</w:t>
      </w:r>
      <w:proofErr w:type="spellEnd"/>
      <w:r w:rsidRPr="00391491">
        <w:rPr>
          <w:rFonts w:ascii="Times New Roman" w:eastAsia="Times New Roman" w:hAnsi="Times New Roman" w:cs="Times New Roman"/>
          <w:color w:val="333333"/>
          <w:kern w:val="0"/>
          <w14:ligatures w14:val="none"/>
        </w:rPr>
        <w:t xml:space="preserve"> as the population surface. In the archived runs, the raster was often stored locally as a TIFF, but the system can just as easily begin from a stable download link. The key point is that the program required only one population raster for the relevant country and year, not a household listing.</w:t>
      </w:r>
    </w:p>
    <w:p w14:paraId="36A65D57"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Clip the raster to the sampled local unit.</w:t>
      </w:r>
      <w:r w:rsidRPr="00391491">
        <w:rPr>
          <w:rFonts w:ascii="Times New Roman" w:eastAsia="Times New Roman" w:hAnsi="Times New Roman" w:cs="Times New Roman"/>
          <w:color w:val="333333"/>
          <w:kern w:val="0"/>
          <w14:ligatures w14:val="none"/>
        </w:rPr>
        <w:t xml:space="preserve"> The boundary polygon was used as a cutline in </w:t>
      </w:r>
      <w:proofErr w:type="spellStart"/>
      <w:r w:rsidRPr="00391491">
        <w:rPr>
          <w:rFonts w:ascii="Times New Roman" w:eastAsia="Times New Roman" w:hAnsi="Times New Roman" w:cs="Times New Roman"/>
          <w:color w:val="333333"/>
          <w:kern w:val="0"/>
          <w:sz w:val="22"/>
          <w:szCs w:val="22"/>
          <w:bdr w:val="single" w:sz="6" w:space="0" w:color="E7EAED" w:frame="1"/>
          <w:shd w:val="clear" w:color="auto" w:fill="F3F4F4"/>
          <w14:ligatures w14:val="none"/>
        </w:rPr>
        <w:t>gdalwarp</w:t>
      </w:r>
      <w:proofErr w:type="spellEnd"/>
      <w:r w:rsidRPr="00391491">
        <w:rPr>
          <w:rFonts w:ascii="Times New Roman" w:eastAsia="Times New Roman" w:hAnsi="Times New Roman" w:cs="Times New Roman"/>
          <w:color w:val="333333"/>
          <w:kern w:val="0"/>
          <w14:ligatures w14:val="none"/>
        </w:rPr>
        <w:t xml:space="preserve">, which clipped the </w:t>
      </w:r>
      <w:proofErr w:type="spellStart"/>
      <w:r w:rsidRPr="00391491">
        <w:rPr>
          <w:rFonts w:ascii="Times New Roman" w:eastAsia="Times New Roman" w:hAnsi="Times New Roman" w:cs="Times New Roman"/>
          <w:color w:val="333333"/>
          <w:kern w:val="0"/>
          <w14:ligatures w14:val="none"/>
        </w:rPr>
        <w:t>WorldPop</w:t>
      </w:r>
      <w:proofErr w:type="spellEnd"/>
      <w:r w:rsidRPr="00391491">
        <w:rPr>
          <w:rFonts w:ascii="Times New Roman" w:eastAsia="Times New Roman" w:hAnsi="Times New Roman" w:cs="Times New Roman"/>
          <w:color w:val="333333"/>
          <w:kern w:val="0"/>
          <w14:ligatures w14:val="none"/>
        </w:rPr>
        <w:t xml:space="preserve"> raster to the exact area of the sampled ward, village tract, or neighbourhood. This produced a small local population raster and reduced the computational burden of later steps.</w:t>
      </w:r>
    </w:p>
    <w:p w14:paraId="2757B3DD"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Create a half-minute grid and estimate cell population.</w:t>
      </w:r>
      <w:r w:rsidRPr="00391491">
        <w:rPr>
          <w:rFonts w:ascii="Times New Roman" w:eastAsia="Times New Roman" w:hAnsi="Times New Roman" w:cs="Times New Roman"/>
          <w:color w:val="333333"/>
          <w:kern w:val="0"/>
          <w14:ligatures w14:val="none"/>
        </w:rPr>
        <w:t xml:space="preserve"> QGIS processing tools then drew a regular half-minute grid over the local boundary and calculated the population sum for each cell from the clipped raster. The output was a table of cell boundaries and estimated population totals. This table functioned as the PPS frame for the first GIS stage.</w:t>
      </w:r>
    </w:p>
    <w:p w14:paraId="6A9BF648"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Select candidate half-minute grids with systematic PPS.</w:t>
      </w:r>
      <w:r w:rsidRPr="00391491">
        <w:rPr>
          <w:rFonts w:ascii="Times New Roman" w:eastAsia="Times New Roman" w:hAnsi="Times New Roman" w:cs="Times New Roman"/>
          <w:color w:val="333333"/>
          <w:kern w:val="0"/>
          <w14:ligatures w14:val="none"/>
        </w:rPr>
        <w:t xml:space="preserve"> The selection script removed cells with no estimated population and, in the Myanmar production workflow, also removed very small cells below a preset threshold. It then cumulated the cell populations, drew a random start, applied a fixed interval, and selected four candidate half-minute grids by systematic PPS. The program wrote out sampling logs, detailed selection tables, coordinate files, and a KML layer for visual checking.</w:t>
      </w:r>
    </w:p>
    <w:p w14:paraId="7C440F8E"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Review the candidate half-minute grids.</w:t>
      </w:r>
      <w:r w:rsidRPr="00391491">
        <w:rPr>
          <w:rFonts w:ascii="Times New Roman" w:eastAsia="Times New Roman" w:hAnsi="Times New Roman" w:cs="Times New Roman"/>
          <w:color w:val="333333"/>
          <w:kern w:val="0"/>
          <w14:ligatures w14:val="none"/>
        </w:rPr>
        <w:t xml:space="preserve"> The program intentionally selected several candidate half-minute grids rather than one. This allowed the research team to inspect the candidates in Google Earth or similar software and choose the release grid if one candidate appeared uninhabited, inaccessible, or otherwise unsuitable. The selected half-minute grid number was then recorded in the control file.</w:t>
      </w:r>
    </w:p>
    <w:p w14:paraId="5A15ADE6"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Create the small-grid lattice within each candidate half-minute grid.</w:t>
      </w:r>
      <w:r w:rsidRPr="00391491">
        <w:rPr>
          <w:rFonts w:ascii="Times New Roman" w:eastAsia="Times New Roman" w:hAnsi="Times New Roman" w:cs="Times New Roman"/>
          <w:color w:val="333333"/>
          <w:kern w:val="0"/>
          <w14:ligatures w14:val="none"/>
        </w:rPr>
        <w:t xml:space="preserve"> For each candidate half-minute grid, the second GIS stage built a 9 by 9 internal lattice, yielding 81 small grids. The program slightly reduced the bounding extent before drawing that lattice so that the resulting cells were cleanly nested inside the half-minute boundary.</w:t>
      </w:r>
    </w:p>
    <w:p w14:paraId="0CBD3F61"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Estimate population and select small grids.</w:t>
      </w:r>
      <w:r w:rsidRPr="00391491">
        <w:rPr>
          <w:rFonts w:ascii="Times New Roman" w:eastAsia="Times New Roman" w:hAnsi="Times New Roman" w:cs="Times New Roman"/>
          <w:color w:val="333333"/>
          <w:kern w:val="0"/>
          <w14:ligatures w14:val="none"/>
        </w:rPr>
        <w:t xml:space="preserve"> Population totals were again calculated for the 81 small grids from the clipped </w:t>
      </w:r>
      <w:proofErr w:type="spellStart"/>
      <w:r w:rsidRPr="00391491">
        <w:rPr>
          <w:rFonts w:ascii="Times New Roman" w:eastAsia="Times New Roman" w:hAnsi="Times New Roman" w:cs="Times New Roman"/>
          <w:color w:val="333333"/>
          <w:kern w:val="0"/>
          <w14:ligatures w14:val="none"/>
        </w:rPr>
        <w:t>WorldPop</w:t>
      </w:r>
      <w:proofErr w:type="spellEnd"/>
      <w:r w:rsidRPr="00391491">
        <w:rPr>
          <w:rFonts w:ascii="Times New Roman" w:eastAsia="Times New Roman" w:hAnsi="Times New Roman" w:cs="Times New Roman"/>
          <w:color w:val="333333"/>
          <w:kern w:val="0"/>
          <w14:ligatures w14:val="none"/>
        </w:rPr>
        <w:t xml:space="preserve"> raster. A second systematic PPS routine then selected 12 small grids within each candidate half-minute grid. These were organised into three groups of four, which gave the field team an ordered set of alternatives rather than a single point of failure.</w:t>
      </w:r>
    </w:p>
    <w:p w14:paraId="53351227"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Prepare navigation and release materials.</w:t>
      </w:r>
      <w:r w:rsidRPr="00391491">
        <w:rPr>
          <w:rFonts w:ascii="Times New Roman" w:eastAsia="Times New Roman" w:hAnsi="Times New Roman" w:cs="Times New Roman"/>
          <w:color w:val="333333"/>
          <w:kern w:val="0"/>
          <w14:ligatures w14:val="none"/>
        </w:rPr>
        <w:t xml:space="preserve"> The program exported KML files for each group of selected small grids, wrote plain-text instruction files listing the grid identifiers and bounding coordinates, and calculated centroid coordinates for field navigation. These outputs could be loaded into Google Earth or entered directly into a GPS device or smartphone.</w:t>
      </w:r>
    </w:p>
    <w:p w14:paraId="36063890" w14:textId="77777777" w:rsidR="00391491" w:rsidRPr="00391491" w:rsidRDefault="00391491" w:rsidP="005C760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b/>
          <w:bCs/>
          <w:color w:val="333333"/>
          <w:kern w:val="0"/>
          <w14:ligatures w14:val="none"/>
        </w:rPr>
        <w:t>Package the field bundles.</w:t>
      </w:r>
      <w:r w:rsidRPr="00391491">
        <w:rPr>
          <w:rFonts w:ascii="Times New Roman" w:eastAsia="Times New Roman" w:hAnsi="Times New Roman" w:cs="Times New Roman"/>
          <w:color w:val="333333"/>
          <w:kern w:val="0"/>
          <w14:ligatures w14:val="none"/>
        </w:rPr>
        <w:t xml:space="preserve"> The final stage zipped the group folders and copied the relevant bundles into a release directory for each sampled local unit. In practice, this produced a standard field package containing the chosen half-minute grid, grouped small-grid alternatives, KML overlays, and coordinate sheets.</w:t>
      </w:r>
    </w:p>
    <w:p w14:paraId="225E4F29" w14:textId="1950BD86" w:rsidR="00585B97" w:rsidRDefault="00391491" w:rsidP="005C760C">
      <w:pPr>
        <w:shd w:val="clear" w:color="auto" w:fill="FFFFFF"/>
        <w:spacing w:before="192" w:after="192" w:line="360" w:lineRule="auto"/>
        <w:jc w:val="both"/>
        <w:rPr>
          <w:rFonts w:ascii="Times New Roman" w:eastAsia="Times New Roman" w:hAnsi="Times New Roman" w:cs="Times New Roman"/>
          <w:color w:val="333333"/>
          <w:kern w:val="0"/>
          <w14:ligatures w14:val="none"/>
        </w:rPr>
      </w:pPr>
      <w:r w:rsidRPr="00391491">
        <w:rPr>
          <w:rFonts w:ascii="Times New Roman" w:eastAsia="Times New Roman" w:hAnsi="Times New Roman" w:cs="Times New Roman"/>
          <w:color w:val="333333"/>
          <w:kern w:val="0"/>
          <w14:ligatures w14:val="none"/>
        </w:rPr>
        <w:t xml:space="preserve">In effect, the archived code base worked as an automated spatial sampling system. If one had the control spreadsheet or CSV, a </w:t>
      </w:r>
      <w:proofErr w:type="spellStart"/>
      <w:r w:rsidRPr="00391491">
        <w:rPr>
          <w:rFonts w:ascii="Times New Roman" w:eastAsia="Times New Roman" w:hAnsi="Times New Roman" w:cs="Times New Roman"/>
          <w:color w:val="333333"/>
          <w:kern w:val="0"/>
          <w14:ligatures w14:val="none"/>
        </w:rPr>
        <w:t>WorldPop</w:t>
      </w:r>
      <w:proofErr w:type="spellEnd"/>
      <w:r w:rsidRPr="00391491">
        <w:rPr>
          <w:rFonts w:ascii="Times New Roman" w:eastAsia="Times New Roman" w:hAnsi="Times New Roman" w:cs="Times New Roman"/>
          <w:color w:val="333333"/>
          <w:kern w:val="0"/>
          <w14:ligatures w14:val="none"/>
        </w:rPr>
        <w:t xml:space="preserve"> source, and a boundary source that could be downloaded or extracted in batch form, the remaining operations could be reproduced with limited additional handwork. That was the practical value of the system in a difficult field setting: it reduced reliance on household lists, limited ad hoc field decisions, and kept the final-stage selection process visible.</w:t>
      </w:r>
    </w:p>
    <w:p w14:paraId="7D5F98F4" w14:textId="6941ED82" w:rsidR="00AE7FBE" w:rsidRPr="00391491" w:rsidRDefault="00AE7FBE" w:rsidP="005C760C">
      <w:pPr>
        <w:spacing w:line="360" w:lineRule="auto"/>
        <w:rPr>
          <w:rFonts w:ascii="Times New Roman" w:eastAsia="Times New Roman" w:hAnsi="Times New Roman" w:cs="Times New Roman"/>
          <w:color w:val="333333"/>
          <w:kern w:val="0"/>
          <w14:ligatures w14:val="none"/>
        </w:rPr>
      </w:pPr>
    </w:p>
    <w:sectPr w:rsidR="00AE7FBE" w:rsidRPr="003914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35949" w14:textId="77777777" w:rsidR="00AC7370" w:rsidRDefault="00AC7370" w:rsidP="0077648B">
      <w:pPr>
        <w:spacing w:after="0" w:line="240" w:lineRule="auto"/>
      </w:pPr>
      <w:r>
        <w:separator/>
      </w:r>
    </w:p>
  </w:endnote>
  <w:endnote w:type="continuationSeparator" w:id="0">
    <w:p w14:paraId="30399469" w14:textId="77777777" w:rsidR="00AC7370" w:rsidRDefault="00AC7370" w:rsidP="0077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576F1" w14:textId="77777777" w:rsidR="00AC7370" w:rsidRDefault="00AC7370" w:rsidP="0077648B">
      <w:pPr>
        <w:spacing w:after="0" w:line="240" w:lineRule="auto"/>
      </w:pPr>
      <w:r>
        <w:separator/>
      </w:r>
    </w:p>
  </w:footnote>
  <w:footnote w:type="continuationSeparator" w:id="0">
    <w:p w14:paraId="690BFA3C" w14:textId="77777777" w:rsidR="00AC7370" w:rsidRDefault="00AC7370" w:rsidP="00776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27E1E"/>
    <w:multiLevelType w:val="multilevel"/>
    <w:tmpl w:val="115C3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83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91"/>
    <w:rsid w:val="000A7334"/>
    <w:rsid w:val="001444DF"/>
    <w:rsid w:val="001B6C5B"/>
    <w:rsid w:val="00254FC1"/>
    <w:rsid w:val="00282639"/>
    <w:rsid w:val="00284B1E"/>
    <w:rsid w:val="00295EC8"/>
    <w:rsid w:val="00362615"/>
    <w:rsid w:val="00391491"/>
    <w:rsid w:val="0040087F"/>
    <w:rsid w:val="00542C3B"/>
    <w:rsid w:val="0058168D"/>
    <w:rsid w:val="00585B97"/>
    <w:rsid w:val="00595825"/>
    <w:rsid w:val="00597EB5"/>
    <w:rsid w:val="005C760C"/>
    <w:rsid w:val="006F2B64"/>
    <w:rsid w:val="007615F7"/>
    <w:rsid w:val="0077648B"/>
    <w:rsid w:val="00786923"/>
    <w:rsid w:val="007E0E18"/>
    <w:rsid w:val="00824080"/>
    <w:rsid w:val="008255AA"/>
    <w:rsid w:val="00920834"/>
    <w:rsid w:val="00AA6F6F"/>
    <w:rsid w:val="00AC0D15"/>
    <w:rsid w:val="00AC7370"/>
    <w:rsid w:val="00AE7FBE"/>
    <w:rsid w:val="00D67EA0"/>
    <w:rsid w:val="00E94737"/>
    <w:rsid w:val="00EE1FE7"/>
    <w:rsid w:val="00F4275B"/>
    <w:rsid w:val="00F72A8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4DA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1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Subtitle"/>
    <w:autoRedefine/>
    <w:qFormat/>
    <w:rsid w:val="00597EB5"/>
    <w:pPr>
      <w:spacing w:line="240" w:lineRule="auto"/>
      <w:jc w:val="center"/>
    </w:pPr>
    <w:rPr>
      <w:rFonts w:ascii="Century" w:eastAsiaTheme="minorEastAsia" w:hAnsi="Century" w:cstheme="minorBidi"/>
      <w:color w:val="FF0000"/>
      <w:kern w:val="0"/>
      <w:sz w:val="22"/>
      <w:szCs w:val="22"/>
      <w14:ligatures w14:val="none"/>
    </w:rPr>
  </w:style>
  <w:style w:type="paragraph" w:styleId="Subtitle">
    <w:name w:val="Subtitle"/>
    <w:basedOn w:val="Normal"/>
    <w:next w:val="Normal"/>
    <w:link w:val="SubtitleChar"/>
    <w:uiPriority w:val="11"/>
    <w:qFormat/>
    <w:rsid w:val="00597E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EB5"/>
    <w:rPr>
      <w:rFonts w:eastAsiaTheme="majorEastAsia" w:cstheme="majorBidi"/>
      <w:color w:val="595959" w:themeColor="text1" w:themeTint="A6"/>
      <w:spacing w:val="15"/>
      <w:sz w:val="28"/>
      <w:szCs w:val="28"/>
    </w:rPr>
  </w:style>
  <w:style w:type="paragraph" w:customStyle="1" w:styleId="Heading-QNR">
    <w:name w:val="Heading-QNR"/>
    <w:basedOn w:val="Heading1"/>
    <w:qFormat/>
    <w:rsid w:val="00362615"/>
    <w:pPr>
      <w:spacing w:before="0" w:after="0" w:line="240" w:lineRule="auto"/>
    </w:pPr>
    <w:rPr>
      <w:kern w:val="0"/>
      <w:sz w:val="32"/>
      <w:szCs w:val="32"/>
      <w14:ligatures w14:val="none"/>
    </w:rPr>
  </w:style>
  <w:style w:type="character" w:customStyle="1" w:styleId="Heading1Char">
    <w:name w:val="Heading 1 Char"/>
    <w:basedOn w:val="DefaultParagraphFont"/>
    <w:link w:val="Heading1"/>
    <w:uiPriority w:val="9"/>
    <w:rsid w:val="00362615"/>
    <w:rPr>
      <w:rFonts w:asciiTheme="majorHAnsi" w:eastAsiaTheme="majorEastAsia" w:hAnsiTheme="majorHAnsi" w:cstheme="majorBidi"/>
      <w:color w:val="0F4761" w:themeColor="accent1" w:themeShade="BF"/>
      <w:sz w:val="40"/>
      <w:szCs w:val="40"/>
    </w:rPr>
  </w:style>
  <w:style w:type="paragraph" w:customStyle="1" w:styleId="ITEMS-QNR">
    <w:name w:val="ITEMS-QNR"/>
    <w:basedOn w:val="Heading3"/>
    <w:autoRedefine/>
    <w:qFormat/>
    <w:rsid w:val="00362615"/>
    <w:pPr>
      <w:spacing w:before="0" w:after="0" w:line="240" w:lineRule="auto"/>
    </w:pPr>
    <w:rPr>
      <w:rFonts w:ascii="Century" w:hAnsi="Century"/>
      <w:color w:val="000000" w:themeColor="text1"/>
      <w:kern w:val="0"/>
      <w:sz w:val="24"/>
      <w:szCs w:val="24"/>
      <w14:ligatures w14:val="none"/>
    </w:rPr>
  </w:style>
  <w:style w:type="character" w:customStyle="1" w:styleId="Heading3Char">
    <w:name w:val="Heading 3 Char"/>
    <w:basedOn w:val="DefaultParagraphFont"/>
    <w:link w:val="Heading3"/>
    <w:uiPriority w:val="9"/>
    <w:semiHidden/>
    <w:rsid w:val="00362615"/>
    <w:rPr>
      <w:rFonts w:eastAsiaTheme="majorEastAsia" w:cstheme="majorBidi"/>
      <w:color w:val="0F4761" w:themeColor="accent1" w:themeShade="BF"/>
      <w:sz w:val="28"/>
      <w:szCs w:val="28"/>
    </w:rPr>
  </w:style>
  <w:style w:type="character" w:customStyle="1" w:styleId="Heading2Char">
    <w:name w:val="Heading 2 Char"/>
    <w:basedOn w:val="DefaultParagraphFont"/>
    <w:link w:val="Heading2"/>
    <w:uiPriority w:val="9"/>
    <w:rsid w:val="0039149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391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491"/>
    <w:rPr>
      <w:rFonts w:eastAsiaTheme="majorEastAsia" w:cstheme="majorBidi"/>
      <w:color w:val="272727" w:themeColor="text1" w:themeTint="D8"/>
    </w:rPr>
  </w:style>
  <w:style w:type="paragraph" w:styleId="Title">
    <w:name w:val="Title"/>
    <w:basedOn w:val="Normal"/>
    <w:next w:val="Normal"/>
    <w:link w:val="TitleChar"/>
    <w:uiPriority w:val="10"/>
    <w:qFormat/>
    <w:rsid w:val="00391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491"/>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391491"/>
    <w:pPr>
      <w:spacing w:before="160"/>
      <w:jc w:val="center"/>
    </w:pPr>
    <w:rPr>
      <w:i/>
      <w:iCs/>
      <w:color w:val="404040" w:themeColor="text1" w:themeTint="BF"/>
    </w:rPr>
  </w:style>
  <w:style w:type="character" w:customStyle="1" w:styleId="QuoteChar">
    <w:name w:val="Quote Char"/>
    <w:basedOn w:val="DefaultParagraphFont"/>
    <w:link w:val="Quote"/>
    <w:uiPriority w:val="29"/>
    <w:rsid w:val="00391491"/>
    <w:rPr>
      <w:i/>
      <w:iCs/>
      <w:color w:val="404040" w:themeColor="text1" w:themeTint="BF"/>
    </w:rPr>
  </w:style>
  <w:style w:type="paragraph" w:styleId="ListParagraph">
    <w:name w:val="List Paragraph"/>
    <w:basedOn w:val="Normal"/>
    <w:uiPriority w:val="34"/>
    <w:qFormat/>
    <w:rsid w:val="00391491"/>
    <w:pPr>
      <w:ind w:left="720"/>
      <w:contextualSpacing/>
    </w:pPr>
  </w:style>
  <w:style w:type="character" w:styleId="IntenseEmphasis">
    <w:name w:val="Intense Emphasis"/>
    <w:basedOn w:val="DefaultParagraphFont"/>
    <w:uiPriority w:val="21"/>
    <w:qFormat/>
    <w:rsid w:val="00391491"/>
    <w:rPr>
      <w:i/>
      <w:iCs/>
      <w:color w:val="0F4761" w:themeColor="accent1" w:themeShade="BF"/>
    </w:rPr>
  </w:style>
  <w:style w:type="paragraph" w:styleId="IntenseQuote">
    <w:name w:val="Intense Quote"/>
    <w:basedOn w:val="Normal"/>
    <w:next w:val="Normal"/>
    <w:link w:val="IntenseQuoteChar"/>
    <w:uiPriority w:val="30"/>
    <w:qFormat/>
    <w:rsid w:val="00391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491"/>
    <w:rPr>
      <w:i/>
      <w:iCs/>
      <w:color w:val="0F4761" w:themeColor="accent1" w:themeShade="BF"/>
    </w:rPr>
  </w:style>
  <w:style w:type="character" w:styleId="IntenseReference">
    <w:name w:val="Intense Reference"/>
    <w:basedOn w:val="DefaultParagraphFont"/>
    <w:uiPriority w:val="32"/>
    <w:qFormat/>
    <w:rsid w:val="00391491"/>
    <w:rPr>
      <w:b/>
      <w:bCs/>
      <w:smallCaps/>
      <w:color w:val="0F4761" w:themeColor="accent1" w:themeShade="BF"/>
      <w:spacing w:val="5"/>
    </w:rPr>
  </w:style>
  <w:style w:type="character" w:customStyle="1" w:styleId="md-plain">
    <w:name w:val="md-plain"/>
    <w:basedOn w:val="DefaultParagraphFont"/>
    <w:rsid w:val="00391491"/>
  </w:style>
  <w:style w:type="paragraph" w:customStyle="1" w:styleId="md-end-block">
    <w:name w:val="md-end-block"/>
    <w:basedOn w:val="Normal"/>
    <w:rsid w:val="003914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d-linebreak">
    <w:name w:val="md-linebreak"/>
    <w:basedOn w:val="DefaultParagraphFont"/>
    <w:rsid w:val="00391491"/>
  </w:style>
  <w:style w:type="character" w:styleId="HTMLCode">
    <w:name w:val="HTML Code"/>
    <w:basedOn w:val="DefaultParagraphFont"/>
    <w:uiPriority w:val="99"/>
    <w:semiHidden/>
    <w:unhideWhenUsed/>
    <w:rsid w:val="00391491"/>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EE1FE7"/>
    <w:rPr>
      <w:sz w:val="16"/>
      <w:szCs w:val="16"/>
    </w:rPr>
  </w:style>
  <w:style w:type="paragraph" w:styleId="CommentText">
    <w:name w:val="annotation text"/>
    <w:basedOn w:val="Normal"/>
    <w:link w:val="CommentTextChar"/>
    <w:uiPriority w:val="99"/>
    <w:unhideWhenUsed/>
    <w:rsid w:val="00EE1FE7"/>
    <w:pPr>
      <w:spacing w:line="240" w:lineRule="auto"/>
    </w:pPr>
    <w:rPr>
      <w:sz w:val="20"/>
      <w:szCs w:val="20"/>
    </w:rPr>
  </w:style>
  <w:style w:type="character" w:customStyle="1" w:styleId="CommentTextChar">
    <w:name w:val="Comment Text Char"/>
    <w:basedOn w:val="DefaultParagraphFont"/>
    <w:link w:val="CommentText"/>
    <w:uiPriority w:val="99"/>
    <w:rsid w:val="00EE1FE7"/>
    <w:rPr>
      <w:sz w:val="20"/>
      <w:szCs w:val="20"/>
    </w:rPr>
  </w:style>
  <w:style w:type="paragraph" w:styleId="CommentSubject">
    <w:name w:val="annotation subject"/>
    <w:basedOn w:val="CommentText"/>
    <w:next w:val="CommentText"/>
    <w:link w:val="CommentSubjectChar"/>
    <w:uiPriority w:val="99"/>
    <w:semiHidden/>
    <w:unhideWhenUsed/>
    <w:rsid w:val="00EE1FE7"/>
    <w:rPr>
      <w:b/>
      <w:bCs/>
    </w:rPr>
  </w:style>
  <w:style w:type="character" w:customStyle="1" w:styleId="CommentSubjectChar">
    <w:name w:val="Comment Subject Char"/>
    <w:basedOn w:val="CommentTextChar"/>
    <w:link w:val="CommentSubject"/>
    <w:uiPriority w:val="99"/>
    <w:semiHidden/>
    <w:rsid w:val="00EE1FE7"/>
    <w:rPr>
      <w:b/>
      <w:bCs/>
      <w:sz w:val="20"/>
      <w:szCs w:val="20"/>
    </w:rPr>
  </w:style>
  <w:style w:type="paragraph" w:styleId="Header">
    <w:name w:val="header"/>
    <w:basedOn w:val="Normal"/>
    <w:link w:val="HeaderChar"/>
    <w:uiPriority w:val="99"/>
    <w:unhideWhenUsed/>
    <w:rsid w:val="0077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48B"/>
  </w:style>
  <w:style w:type="paragraph" w:styleId="Footer">
    <w:name w:val="footer"/>
    <w:basedOn w:val="Normal"/>
    <w:link w:val="FooterChar"/>
    <w:uiPriority w:val="99"/>
    <w:unhideWhenUsed/>
    <w:rsid w:val="0077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48B"/>
  </w:style>
  <w:style w:type="character" w:styleId="Hyperlink">
    <w:name w:val="Hyperlink"/>
    <w:basedOn w:val="DefaultParagraphFont"/>
    <w:uiPriority w:val="99"/>
    <w:unhideWhenUsed/>
    <w:rsid w:val="0058168D"/>
    <w:rPr>
      <w:color w:val="467886" w:themeColor="hyperlink"/>
      <w:u w:val="single"/>
    </w:rPr>
  </w:style>
  <w:style w:type="character" w:styleId="UnresolvedMention">
    <w:name w:val="Unresolved Mention"/>
    <w:basedOn w:val="DefaultParagraphFont"/>
    <w:uiPriority w:val="99"/>
    <w:semiHidden/>
    <w:unhideWhenUsed/>
    <w:rsid w:val="0058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c.org/standards/k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CB371-2BB8-4611-969C-4E5B3DA23876}">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2026-06-08T13:57:00Z</dcterms:created>
  <dcterms:modified xsi:type="dcterms:W3CDTF">2026-06-15T09:29:00Z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81d12eab82a954d52463f319a82c041703ae8356ff76c48408c6081a88c579e9</vt:lpwstr>
  </property>
</Properties>
</file>